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4" w:rsidRPr="00201DB4" w:rsidRDefault="00201DB4" w:rsidP="00544931">
      <w:pPr>
        <w:spacing w:after="0" w:line="240" w:lineRule="auto"/>
        <w:jc w:val="center"/>
        <w:rPr>
          <w:b/>
          <w:sz w:val="28"/>
          <w:szCs w:val="28"/>
        </w:rPr>
      </w:pPr>
      <w:r w:rsidRPr="00201DB4">
        <w:rPr>
          <w:b/>
          <w:sz w:val="28"/>
          <w:szCs w:val="28"/>
        </w:rPr>
        <w:t>Plan de deux chapitres</w:t>
      </w:r>
    </w:p>
    <w:p w:rsidR="00201DB4" w:rsidRDefault="00201DB4" w:rsidP="00C330AD">
      <w:pPr>
        <w:spacing w:after="0" w:line="240" w:lineRule="auto"/>
        <w:rPr>
          <w:b/>
        </w:rPr>
      </w:pPr>
    </w:p>
    <w:p w:rsidR="006055B0" w:rsidRPr="002D0FBB" w:rsidRDefault="006055B0" w:rsidP="00C330AD">
      <w:pPr>
        <w:spacing w:after="0" w:line="240" w:lineRule="auto"/>
        <w:rPr>
          <w:b/>
        </w:rPr>
      </w:pPr>
      <w:r w:rsidRPr="002D0FBB">
        <w:rPr>
          <w:b/>
        </w:rPr>
        <w:t>II – Le quotidien</w:t>
      </w:r>
      <w:r w:rsidRPr="002D0FBB">
        <w:rPr>
          <w:b/>
        </w:rPr>
        <w:tab/>
      </w:r>
    </w:p>
    <w:p w:rsidR="00C330AD" w:rsidRPr="009B327B" w:rsidRDefault="00C330AD" w:rsidP="00C330AD">
      <w:pPr>
        <w:spacing w:after="0"/>
      </w:pPr>
      <w:r w:rsidRPr="009B327B">
        <w:t xml:space="preserve">Après la première grande migration de Pologne vers la France de mes quatre grands parents, la génération de mes parents se déplace à nouveau, après la </w:t>
      </w:r>
      <w:r>
        <w:t xml:space="preserve">seconde </w:t>
      </w:r>
      <w:r w:rsidRPr="009B327B">
        <w:t>guerre, du centre de la France, pour chercher son sud dans les mines du Nord.</w:t>
      </w:r>
    </w:p>
    <w:p w:rsidR="00C330AD" w:rsidRPr="009B327B" w:rsidRDefault="00C330AD" w:rsidP="00C330AD">
      <w:pPr>
        <w:spacing w:after="0"/>
      </w:pPr>
      <w:r w:rsidRPr="009B327B">
        <w:t xml:space="preserve">Enfant du </w:t>
      </w:r>
      <w:r>
        <w:rPr>
          <w:i/>
        </w:rPr>
        <w:t>b</w:t>
      </w:r>
      <w:r w:rsidRPr="009B327B">
        <w:rPr>
          <w:i/>
        </w:rPr>
        <w:t>aby-boom</w:t>
      </w:r>
      <w:r w:rsidRPr="009B327B">
        <w:t xml:space="preserve">, c’est dans un coron que j’ai passé les </w:t>
      </w:r>
      <w:r w:rsidRPr="009B327B">
        <w:rPr>
          <w:i/>
        </w:rPr>
        <w:t>Trente Glorieuses</w:t>
      </w:r>
      <w:r w:rsidRPr="009B327B">
        <w:t xml:space="preserve"> </w:t>
      </w:r>
    </w:p>
    <w:p w:rsidR="00C330AD" w:rsidRPr="009B327B" w:rsidRDefault="00C330AD" w:rsidP="00C330AD">
      <w:pPr>
        <w:spacing w:after="0"/>
      </w:pPr>
      <w:r w:rsidRPr="009B327B">
        <w:t>Cinq chapitres donnent la tonalité d’</w:t>
      </w:r>
      <w:r>
        <w:t xml:space="preserve">ensemble de la vie quotidienne 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>1 – La cuisine</w:t>
      </w:r>
      <w:r w:rsidRPr="009B327B">
        <w:t> : polonaise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>2 - La langue maternelle</w:t>
      </w:r>
      <w:r w:rsidRPr="009B327B">
        <w:t> : un mélange d’une richesse certaine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>3 – Le respect des règles</w:t>
      </w:r>
      <w:r w:rsidRPr="009B327B">
        <w:t> : objectif numéro un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>4 - L’église</w:t>
      </w:r>
      <w:r w:rsidRPr="009B327B">
        <w:t> : omniprésente</w:t>
      </w:r>
    </w:p>
    <w:p w:rsidR="00C330AD" w:rsidRPr="009B327B" w:rsidRDefault="00C330AD" w:rsidP="00C330AD">
      <w:r w:rsidRPr="009B327B">
        <w:rPr>
          <w:b/>
        </w:rPr>
        <w:t>5 - L’école</w:t>
      </w:r>
      <w:r w:rsidRPr="009B327B">
        <w:t> : bénie soit-elle !</w:t>
      </w:r>
    </w:p>
    <w:p w:rsidR="006055B0" w:rsidRDefault="006055B0" w:rsidP="00C330AD">
      <w:pPr>
        <w:spacing w:line="240" w:lineRule="auto"/>
      </w:pPr>
      <w:r>
        <w:tab/>
      </w:r>
    </w:p>
    <w:p w:rsidR="006055B0" w:rsidRPr="002D0FBB" w:rsidRDefault="006055B0" w:rsidP="00C330AD">
      <w:pPr>
        <w:spacing w:after="0" w:line="240" w:lineRule="auto"/>
        <w:rPr>
          <w:b/>
        </w:rPr>
      </w:pPr>
      <w:r w:rsidRPr="002D0FBB">
        <w:rPr>
          <w:b/>
        </w:rPr>
        <w:t>III – Le regard de l’autre, le regard sur l’autre</w:t>
      </w:r>
      <w:r w:rsidRPr="002D0FBB">
        <w:rPr>
          <w:b/>
        </w:rPr>
        <w:tab/>
      </w:r>
    </w:p>
    <w:p w:rsidR="00C330AD" w:rsidRPr="009B327B" w:rsidRDefault="00C330AD" w:rsidP="00C330AD">
      <w:pPr>
        <w:spacing w:after="0"/>
      </w:pPr>
      <w:r w:rsidRPr="009B327B">
        <w:t>Cinq « </w:t>
      </w:r>
      <w:proofErr w:type="gramStart"/>
      <w:r w:rsidRPr="009B327B">
        <w:t>flash</w:t>
      </w:r>
      <w:proofErr w:type="gramEnd"/>
      <w:r w:rsidRPr="009B327B">
        <w:t> » pour percevoir l’autre :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 xml:space="preserve">1 - </w:t>
      </w:r>
      <w:proofErr w:type="spellStart"/>
      <w:r w:rsidRPr="009B327B">
        <w:rPr>
          <w:b/>
        </w:rPr>
        <w:t>Bazarine</w:t>
      </w:r>
      <w:proofErr w:type="spellEnd"/>
      <w:r w:rsidRPr="009B327B">
        <w:t xml:space="preserve"> : </w:t>
      </w:r>
    </w:p>
    <w:p w:rsidR="00C330AD" w:rsidRPr="009B327B" w:rsidRDefault="00C330AD" w:rsidP="00C330AD">
      <w:pPr>
        <w:spacing w:after="0"/>
      </w:pPr>
      <w:r w:rsidRPr="009B327B">
        <w:t xml:space="preserve">Pourquoi </w:t>
      </w:r>
      <w:proofErr w:type="spellStart"/>
      <w:r w:rsidRPr="009B327B">
        <w:t>Bazarine</w:t>
      </w:r>
      <w:proofErr w:type="spellEnd"/>
      <w:r w:rsidRPr="009B327B">
        <w:t xml:space="preserve"> au lieu de Séverine ? Si c’est le féminin de </w:t>
      </w:r>
      <w:r w:rsidRPr="009B327B">
        <w:rPr>
          <w:i/>
        </w:rPr>
        <w:t>truc, machin, chose, bazar…</w:t>
      </w:r>
      <w:r w:rsidRPr="009B327B">
        <w:t xml:space="preserve"> ça fait mal. Je préfère croire que c’est une vue de mon esprit.</w:t>
      </w:r>
    </w:p>
    <w:p w:rsidR="00C330AD" w:rsidRPr="009B327B" w:rsidRDefault="00C330AD" w:rsidP="00C330AD">
      <w:pPr>
        <w:spacing w:after="0"/>
      </w:pPr>
      <w:r w:rsidRPr="009B327B">
        <w:rPr>
          <w:b/>
        </w:rPr>
        <w:t>2 - Le vol pour Bamako</w:t>
      </w:r>
      <w:r w:rsidRPr="009B327B">
        <w:t xml:space="preserve"> : </w:t>
      </w:r>
    </w:p>
    <w:p w:rsidR="00C330AD" w:rsidRPr="009B327B" w:rsidRDefault="00C330AD" w:rsidP="00C330AD">
      <w:pPr>
        <w:spacing w:after="0"/>
      </w:pPr>
      <w:r w:rsidRPr="009B327B">
        <w:t>Dans les années soixante, l’exotisme était géographiquement moins éloigné.</w:t>
      </w:r>
    </w:p>
    <w:p w:rsidR="00C330AD" w:rsidRPr="009B327B" w:rsidRDefault="00C330AD" w:rsidP="00B66A53">
      <w:pPr>
        <w:spacing w:after="0"/>
      </w:pPr>
      <w:r w:rsidRPr="009B327B">
        <w:rPr>
          <w:b/>
        </w:rPr>
        <w:t>3 - En salle des professeurs</w:t>
      </w:r>
      <w:r w:rsidRPr="009B327B">
        <w:t xml:space="preserve"> : </w:t>
      </w:r>
    </w:p>
    <w:p w:rsidR="00C330AD" w:rsidRDefault="00C330AD" w:rsidP="00065A39">
      <w:pPr>
        <w:spacing w:after="0"/>
      </w:pPr>
      <w:r w:rsidRPr="009B327B">
        <w:t>Brassage social, choc de cultures. Un autre regard sur les élèves « issus de l’immigration »</w:t>
      </w:r>
      <w:r>
        <w:t>.</w:t>
      </w:r>
    </w:p>
    <w:p w:rsidR="00065A39" w:rsidRPr="009B327B" w:rsidRDefault="00065A39" w:rsidP="00065A39">
      <w:pPr>
        <w:spacing w:after="0"/>
      </w:pPr>
      <w:r w:rsidRPr="009B327B">
        <w:rPr>
          <w:b/>
        </w:rPr>
        <w:t xml:space="preserve">4 - La fosse </w:t>
      </w:r>
      <w:proofErr w:type="spellStart"/>
      <w:r w:rsidRPr="009B327B">
        <w:rPr>
          <w:b/>
        </w:rPr>
        <w:t>Delloye</w:t>
      </w:r>
      <w:proofErr w:type="spellEnd"/>
      <w:r w:rsidRPr="009B327B">
        <w:rPr>
          <w:b/>
        </w:rPr>
        <w:t xml:space="preserve">, à </w:t>
      </w:r>
      <w:proofErr w:type="spellStart"/>
      <w:r w:rsidRPr="009B327B">
        <w:rPr>
          <w:b/>
        </w:rPr>
        <w:t>Lewarde</w:t>
      </w:r>
      <w:proofErr w:type="spellEnd"/>
      <w:r w:rsidRPr="009B327B">
        <w:rPr>
          <w:b/>
        </w:rPr>
        <w:t> </w:t>
      </w:r>
      <w:r w:rsidRPr="009B327B">
        <w:t xml:space="preserve">: </w:t>
      </w:r>
    </w:p>
    <w:p w:rsidR="00065A39" w:rsidRPr="009B327B" w:rsidRDefault="00065A39" w:rsidP="00065A39">
      <w:pPr>
        <w:spacing w:after="0"/>
      </w:pPr>
      <w:r w:rsidRPr="009B327B">
        <w:t>Au patrimoine de l’humanité.</w:t>
      </w:r>
    </w:p>
    <w:p w:rsidR="00065A39" w:rsidRPr="009B327B" w:rsidRDefault="00065A39" w:rsidP="00065A39">
      <w:pPr>
        <w:spacing w:after="0"/>
        <w:rPr>
          <w:rFonts w:eastAsia="MS Mincho"/>
          <w:szCs w:val="28"/>
        </w:rPr>
      </w:pPr>
      <w:r w:rsidRPr="009B327B">
        <w:rPr>
          <w:b/>
        </w:rPr>
        <w:t>5 – Quatre générations après l’arrivée en France</w:t>
      </w:r>
      <w:r w:rsidRPr="009B327B">
        <w:rPr>
          <w:rFonts w:eastAsia="MS Mincho"/>
          <w:szCs w:val="28"/>
        </w:rPr>
        <w:t> :</w:t>
      </w:r>
    </w:p>
    <w:p w:rsidR="00065A39" w:rsidRDefault="00065A39" w:rsidP="00065A39">
      <w:pPr>
        <w:rPr>
          <w:rFonts w:eastAsia="MS Mincho"/>
          <w:szCs w:val="28"/>
        </w:rPr>
      </w:pPr>
      <w:r w:rsidRPr="009B327B">
        <w:rPr>
          <w:rFonts w:eastAsia="MS Mincho"/>
          <w:szCs w:val="28"/>
        </w:rPr>
        <w:t>Il reste au moins trois mots</w:t>
      </w:r>
      <w:r w:rsidRPr="009B327B">
        <w:rPr>
          <w:rFonts w:eastAsia="MS Mincho"/>
          <w:i/>
          <w:szCs w:val="28"/>
        </w:rPr>
        <w:t xml:space="preserve"> : </w:t>
      </w:r>
      <w:proofErr w:type="spellStart"/>
      <w:r w:rsidRPr="009B327B">
        <w:rPr>
          <w:rFonts w:eastAsia="MS Mincho"/>
          <w:i/>
          <w:szCs w:val="28"/>
        </w:rPr>
        <w:t>dziadzia</w:t>
      </w:r>
      <w:proofErr w:type="spellEnd"/>
      <w:r w:rsidRPr="009B327B">
        <w:rPr>
          <w:rFonts w:eastAsia="MS Mincho"/>
          <w:i/>
          <w:szCs w:val="28"/>
        </w:rPr>
        <w:t xml:space="preserve">, </w:t>
      </w:r>
      <w:proofErr w:type="spellStart"/>
      <w:r w:rsidRPr="009B327B">
        <w:rPr>
          <w:rFonts w:eastAsia="MS Mincho"/>
          <w:i/>
          <w:szCs w:val="28"/>
        </w:rPr>
        <w:t>babcia</w:t>
      </w:r>
      <w:proofErr w:type="spellEnd"/>
      <w:r w:rsidRPr="009B327B">
        <w:rPr>
          <w:rFonts w:eastAsia="MS Mincho"/>
          <w:i/>
          <w:szCs w:val="28"/>
        </w:rPr>
        <w:t xml:space="preserve">, </w:t>
      </w:r>
      <w:proofErr w:type="spellStart"/>
      <w:r w:rsidRPr="009B327B">
        <w:rPr>
          <w:rFonts w:eastAsia="MS Mincho"/>
          <w:i/>
          <w:szCs w:val="28"/>
        </w:rPr>
        <w:t>chleb</w:t>
      </w:r>
      <w:proofErr w:type="spellEnd"/>
      <w:r w:rsidRPr="009B327B">
        <w:rPr>
          <w:rFonts w:eastAsia="MS Mincho"/>
          <w:i/>
          <w:szCs w:val="28"/>
        </w:rPr>
        <w:t xml:space="preserve"> </w:t>
      </w:r>
      <w:r w:rsidRPr="009B327B">
        <w:rPr>
          <w:rFonts w:eastAsia="MS Mincho"/>
          <w:szCs w:val="28"/>
        </w:rPr>
        <w:t>(grand père, grand-mère, pain) et l’impérieuse nécessité de garder la mémoire, po</w:t>
      </w:r>
      <w:r>
        <w:rPr>
          <w:rFonts w:eastAsia="MS Mincho"/>
          <w:szCs w:val="28"/>
        </w:rPr>
        <w:t>ur construire l’avenir</w:t>
      </w:r>
    </w:p>
    <w:p w:rsidR="00065A39" w:rsidRPr="009B327B" w:rsidRDefault="00065A39" w:rsidP="00C330AD"/>
    <w:p w:rsidR="00C330AD" w:rsidRDefault="00C330AD" w:rsidP="00C330AD">
      <w:pPr>
        <w:spacing w:line="240" w:lineRule="auto"/>
      </w:pPr>
    </w:p>
    <w:p w:rsidR="00C330AD" w:rsidRPr="00201DB4" w:rsidRDefault="00201DB4" w:rsidP="00544931">
      <w:pPr>
        <w:spacing w:line="240" w:lineRule="auto"/>
        <w:jc w:val="center"/>
        <w:rPr>
          <w:b/>
          <w:sz w:val="28"/>
          <w:szCs w:val="28"/>
        </w:rPr>
      </w:pPr>
      <w:r w:rsidRPr="00201DB4">
        <w:rPr>
          <w:b/>
          <w:sz w:val="28"/>
          <w:szCs w:val="28"/>
        </w:rPr>
        <w:t>Extrait</w:t>
      </w:r>
    </w:p>
    <w:p w:rsidR="00C330AD" w:rsidRDefault="00C330AD" w:rsidP="00C330AD">
      <w:pPr>
        <w:spacing w:after="0" w:line="240" w:lineRule="auto"/>
      </w:pPr>
      <w:r w:rsidRPr="009B327B">
        <w:t xml:space="preserve">Mes lectures ont dû m’aider à appréhender la situation et à m’adapter. Evidemment, </w:t>
      </w:r>
      <w:r w:rsidRPr="009B327B">
        <w:rPr>
          <w:i/>
        </w:rPr>
        <w:t>Germinal</w:t>
      </w:r>
      <w:r w:rsidRPr="009B327B">
        <w:t xml:space="preserve"> ou </w:t>
      </w:r>
      <w:r w:rsidRPr="009B327B">
        <w:rPr>
          <w:i/>
        </w:rPr>
        <w:t>Le Petit Chose</w:t>
      </w:r>
      <w:r w:rsidRPr="009B327B">
        <w:t>. Mais c’est l’épisode de la casquette</w:t>
      </w:r>
      <w:r>
        <w:t>,</w:t>
      </w:r>
      <w:r w:rsidRPr="009B327B">
        <w:t xml:space="preserve"> dans </w:t>
      </w:r>
      <w:r w:rsidRPr="009B327B">
        <w:rPr>
          <w:i/>
        </w:rPr>
        <w:t>Madame Bovary</w:t>
      </w:r>
      <w:r w:rsidRPr="009B327B">
        <w:t xml:space="preserve"> qui m’a beaucoup aidé</w:t>
      </w:r>
      <w:r w:rsidR="001F2428">
        <w:t>e</w:t>
      </w:r>
      <w:bookmarkStart w:id="0" w:name="_GoBack"/>
      <w:bookmarkEnd w:id="0"/>
      <w:r w:rsidRPr="009B327B">
        <w:t xml:space="preserve"> à comprendre que mon cas n’était pas isolé et qu’il y en avait de bien plus difficiles à vivre</w:t>
      </w:r>
    </w:p>
    <w:p w:rsidR="00C330AD" w:rsidRDefault="00C330AD" w:rsidP="00C330AD">
      <w:pPr>
        <w:spacing w:after="0" w:line="240" w:lineRule="auto"/>
      </w:pPr>
      <w:r>
        <w:t>[…]</w:t>
      </w:r>
    </w:p>
    <w:p w:rsidR="00C330AD" w:rsidRDefault="00C330AD" w:rsidP="00C330AD">
      <w:pPr>
        <w:spacing w:after="0"/>
      </w:pPr>
      <w:r w:rsidRPr="009B327B">
        <w:t>Tout était dans ce passage :</w:t>
      </w:r>
      <w:bookmarkStart w:id="1" w:name="_Toc430738134"/>
    </w:p>
    <w:p w:rsidR="00C330AD" w:rsidRPr="009B327B" w:rsidRDefault="00C330AD" w:rsidP="00C330AD">
      <w:pPr>
        <w:spacing w:after="0"/>
      </w:pPr>
      <w:r w:rsidRPr="009B327B">
        <w:t>Le nom</w:t>
      </w:r>
      <w:bookmarkEnd w:id="1"/>
    </w:p>
    <w:p w:rsidR="00C330AD" w:rsidRPr="00E83784" w:rsidRDefault="00C330AD" w:rsidP="00C330AD">
      <w:pPr>
        <w:pStyle w:val="Citations"/>
        <w:rPr>
          <w:i/>
        </w:rPr>
      </w:pPr>
      <w:r>
        <w:t xml:space="preserve"> </w:t>
      </w:r>
      <w:r w:rsidRPr="009B327B">
        <w:t xml:space="preserve"> </w:t>
      </w:r>
      <w:r w:rsidRPr="00E83784">
        <w:rPr>
          <w:i/>
        </w:rPr>
        <w:t>« – Levez-vous, reprit le professeur, et dites-moi votre nom.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t>Le nouveau articula, d'une voix bredouillante, un nom inintelligible.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t xml:space="preserve">      – Répétez !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lastRenderedPageBreak/>
        <w:t>Le même bredouillement de syllabes se fit entendre, couvert par les huées de la classe.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t xml:space="preserve">      – Plus haut ! cria le maître, plus haut !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t xml:space="preserve">Le nouveau, prenant alors une résolution extrême, ouvrit une bouche démesurée et lança à pleins poumons, comme pour appeler quelqu'un, ce mot : </w:t>
      </w:r>
      <w:proofErr w:type="spellStart"/>
      <w:r w:rsidRPr="00E83784">
        <w:rPr>
          <w:i/>
        </w:rPr>
        <w:t>Charbovari</w:t>
      </w:r>
      <w:proofErr w:type="spellEnd"/>
      <w:r w:rsidRPr="00E83784">
        <w:rPr>
          <w:i/>
        </w:rPr>
        <w:t>.</w:t>
      </w:r>
    </w:p>
    <w:p w:rsidR="00C330AD" w:rsidRPr="00E83784" w:rsidRDefault="00C330AD" w:rsidP="00C330AD">
      <w:pPr>
        <w:pStyle w:val="Citations"/>
        <w:rPr>
          <w:i/>
        </w:rPr>
      </w:pPr>
      <w:r w:rsidRPr="00E83784">
        <w:rPr>
          <w:i/>
        </w:rPr>
        <w:t xml:space="preserve">      Ce fut un vacarme qui s'élança d'un bond, monta en crescendo, avec des éclats de voix aigus (on hurlait, on aboyait, on trépignait, on répétait : </w:t>
      </w:r>
      <w:proofErr w:type="spellStart"/>
      <w:r w:rsidRPr="00E83784">
        <w:rPr>
          <w:i/>
        </w:rPr>
        <w:t>Charbovari</w:t>
      </w:r>
      <w:proofErr w:type="spellEnd"/>
      <w:r w:rsidRPr="00E83784">
        <w:rPr>
          <w:i/>
        </w:rPr>
        <w:t xml:space="preserve"> ! </w:t>
      </w:r>
      <w:proofErr w:type="spellStart"/>
      <w:r w:rsidRPr="00E83784">
        <w:rPr>
          <w:i/>
        </w:rPr>
        <w:t>Charbovari</w:t>
      </w:r>
      <w:proofErr w:type="spellEnd"/>
      <w:r w:rsidRPr="00E83784">
        <w:rPr>
          <w:i/>
        </w:rPr>
        <w:t xml:space="preserve"> !), puis qui roula en notes isolées, se calmant à grand-peine, et parfois qui reprenait tout à coup sur la ligne d'un banc où saillissait encore çà et là, comme un pétard mal éteint, quelque rire étouffé. »</w:t>
      </w:r>
    </w:p>
    <w:p w:rsidR="00C330AD" w:rsidRPr="00E83784" w:rsidRDefault="00C330AD" w:rsidP="00C330AD">
      <w:pPr>
        <w:pStyle w:val="Citations"/>
        <w:rPr>
          <w:i/>
        </w:rPr>
      </w:pPr>
    </w:p>
    <w:p w:rsidR="00C330AD" w:rsidRDefault="00C330AD" w:rsidP="00C330AD">
      <w:r w:rsidRPr="009B327B">
        <w:t xml:space="preserve">Difficile à porter un nom aux consonances exotiques ! Combien de fois faut-il l’épeler ! Et répéter des suites telles que </w:t>
      </w:r>
      <w:proofErr w:type="spellStart"/>
      <w:r w:rsidRPr="009B327B">
        <w:rPr>
          <w:i/>
        </w:rPr>
        <w:t>rzcz</w:t>
      </w:r>
      <w:proofErr w:type="spellEnd"/>
      <w:r w:rsidRPr="009B327B">
        <w:rPr>
          <w:i/>
        </w:rPr>
        <w:t> </w:t>
      </w:r>
      <w:r w:rsidRPr="009B327B">
        <w:t xml:space="preserve">! Et redire la manière dont il se prononce ! </w:t>
      </w:r>
      <w:r w:rsidRPr="009B327B">
        <w:rPr>
          <w:i/>
        </w:rPr>
        <w:t>« </w:t>
      </w:r>
      <w:proofErr w:type="gramStart"/>
      <w:r w:rsidRPr="009B327B">
        <w:rPr>
          <w:i/>
        </w:rPr>
        <w:t>non</w:t>
      </w:r>
      <w:proofErr w:type="gramEnd"/>
      <w:r w:rsidRPr="009B327B">
        <w:rPr>
          <w:i/>
        </w:rPr>
        <w:t xml:space="preserve">, pas z, ni </w:t>
      </w:r>
      <w:proofErr w:type="spellStart"/>
      <w:r w:rsidRPr="009B327B">
        <w:rPr>
          <w:i/>
        </w:rPr>
        <w:t>ch</w:t>
      </w:r>
      <w:proofErr w:type="spellEnd"/>
      <w:r w:rsidRPr="009B327B">
        <w:rPr>
          <w:i/>
        </w:rPr>
        <w:t xml:space="preserve">, ni s, mais </w:t>
      </w:r>
      <w:proofErr w:type="spellStart"/>
      <w:r w:rsidRPr="009B327B">
        <w:rPr>
          <w:i/>
        </w:rPr>
        <w:t>chtch</w:t>
      </w:r>
      <w:proofErr w:type="spellEnd"/>
      <w:r w:rsidRPr="009B327B">
        <w:rPr>
          <w:i/>
        </w:rPr>
        <w:t> »</w:t>
      </w:r>
      <w:r w:rsidRPr="009B327B">
        <w:t xml:space="preserve"> ! Fort heureusement, le mien n’était pas trop compliqué et en général il ne suscitait pas trop de questions. Mais j’enviais celles qui s’appelaient </w:t>
      </w:r>
      <w:r w:rsidRPr="009B327B">
        <w:rPr>
          <w:i/>
        </w:rPr>
        <w:t>Durand</w:t>
      </w:r>
      <w:r w:rsidRPr="009B327B">
        <w:t xml:space="preserve"> ou </w:t>
      </w:r>
      <w:r w:rsidRPr="009B327B">
        <w:rPr>
          <w:i/>
        </w:rPr>
        <w:t>Dupont</w:t>
      </w:r>
      <w:r w:rsidRPr="009B327B">
        <w:t xml:space="preserve">. Et comme je plaignais celles dont le nom commençait par </w:t>
      </w:r>
      <w:proofErr w:type="spellStart"/>
      <w:r w:rsidRPr="009B327B">
        <w:rPr>
          <w:i/>
        </w:rPr>
        <w:t>Szcze</w:t>
      </w:r>
      <w:proofErr w:type="spellEnd"/>
      <w:r w:rsidRPr="009B327B">
        <w:t> !</w:t>
      </w:r>
    </w:p>
    <w:p w:rsidR="00C330AD" w:rsidRPr="009B327B" w:rsidRDefault="00C330AD" w:rsidP="00C330AD">
      <w:pPr>
        <w:rPr>
          <w:i/>
        </w:rPr>
      </w:pPr>
      <w:r>
        <w:t>[…]</w:t>
      </w:r>
    </w:p>
    <w:p w:rsidR="00C330AD" w:rsidRDefault="00C330AD" w:rsidP="00C330AD">
      <w:pPr>
        <w:spacing w:line="240" w:lineRule="auto"/>
      </w:pPr>
    </w:p>
    <w:sectPr w:rsidR="00C330AD" w:rsidSect="0005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E4" w:rsidRDefault="00CE1AE4" w:rsidP="00C330AD">
      <w:pPr>
        <w:spacing w:after="0" w:line="240" w:lineRule="auto"/>
      </w:pPr>
      <w:r>
        <w:separator/>
      </w:r>
    </w:p>
  </w:endnote>
  <w:endnote w:type="continuationSeparator" w:id="0">
    <w:p w:rsidR="00CE1AE4" w:rsidRDefault="00CE1AE4" w:rsidP="00C3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Std-Bold">
    <w:altName w:val="Times New Roman"/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E4" w:rsidRDefault="00CE1AE4" w:rsidP="00C330AD">
      <w:pPr>
        <w:spacing w:after="0" w:line="240" w:lineRule="auto"/>
      </w:pPr>
      <w:r>
        <w:separator/>
      </w:r>
    </w:p>
  </w:footnote>
  <w:footnote w:type="continuationSeparator" w:id="0">
    <w:p w:rsidR="00CE1AE4" w:rsidRDefault="00CE1AE4" w:rsidP="00C33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5B0"/>
    <w:rsid w:val="0005377C"/>
    <w:rsid w:val="00065A39"/>
    <w:rsid w:val="000911AC"/>
    <w:rsid w:val="001F2428"/>
    <w:rsid w:val="00201DB4"/>
    <w:rsid w:val="002D0FBB"/>
    <w:rsid w:val="004503C7"/>
    <w:rsid w:val="00544931"/>
    <w:rsid w:val="006055B0"/>
    <w:rsid w:val="0093598D"/>
    <w:rsid w:val="00B66A53"/>
    <w:rsid w:val="00BA4343"/>
    <w:rsid w:val="00C330AD"/>
    <w:rsid w:val="00C7190F"/>
    <w:rsid w:val="00C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8D"/>
    <w:rPr>
      <w:rFonts w:ascii="Times New Roman" w:hAnsi="Times New Roman"/>
      <w:sz w:val="24"/>
    </w:rPr>
  </w:style>
  <w:style w:type="paragraph" w:styleId="Titre3">
    <w:name w:val="heading 3"/>
    <w:next w:val="Normal"/>
    <w:link w:val="Titre3Car"/>
    <w:uiPriority w:val="9"/>
    <w:qFormat/>
    <w:rsid w:val="00C330AD"/>
    <w:pPr>
      <w:keepNext/>
      <w:keepLines/>
      <w:suppressAutoHyphens/>
      <w:autoSpaceDE w:val="0"/>
      <w:autoSpaceDN w:val="0"/>
      <w:spacing w:before="240" w:after="120" w:line="240" w:lineRule="auto"/>
      <w:textAlignment w:val="center"/>
      <w:outlineLvl w:val="2"/>
    </w:pPr>
    <w:rPr>
      <w:rFonts w:ascii="Times New Roman" w:eastAsia="TimesLTStd-Bold" w:hAnsi="Times New Roman" w:cs="Times New Roman"/>
      <w:b/>
      <w:bCs/>
      <w:color w:val="000000"/>
      <w:kern w:val="3"/>
      <w:sz w:val="25"/>
      <w:szCs w:val="25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link w:val="NotedebasdepageCar"/>
    <w:uiPriority w:val="99"/>
    <w:unhideWhenUsed/>
    <w:rsid w:val="00C330AD"/>
    <w:pPr>
      <w:spacing w:after="0" w:line="240" w:lineRule="auto"/>
      <w:ind w:firstLine="454"/>
    </w:pPr>
    <w:rPr>
      <w:rFonts w:ascii="Times LT Std" w:eastAsia="Calibri" w:hAnsi="Times LT St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330AD"/>
    <w:rPr>
      <w:rFonts w:ascii="Times LT Std" w:eastAsia="Calibri" w:hAnsi="Times LT Std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C330AD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C330AD"/>
    <w:rPr>
      <w:rFonts w:ascii="Times New Roman" w:eastAsia="TimesLTStd-Bold" w:hAnsi="Times New Roman" w:cs="Times New Roman"/>
      <w:b/>
      <w:bCs/>
      <w:color w:val="000000"/>
      <w:kern w:val="3"/>
      <w:sz w:val="25"/>
      <w:szCs w:val="25"/>
      <w:lang w:eastAsia="zh-CN" w:bidi="hi-IN"/>
    </w:rPr>
  </w:style>
  <w:style w:type="paragraph" w:customStyle="1" w:styleId="Citations">
    <w:name w:val="Citations"/>
    <w:qFormat/>
    <w:rsid w:val="00C330AD"/>
    <w:pPr>
      <w:spacing w:before="200" w:line="240" w:lineRule="auto"/>
      <w:ind w:left="703"/>
      <w:contextualSpacing/>
      <w:jc w:val="both"/>
    </w:pPr>
    <w:rPr>
      <w:rFonts w:ascii="Times New Roman" w:eastAsia="Times New Roman" w:hAnsi="Times New Roman" w:cs="Times New Roman"/>
      <w:spacing w:val="-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Utilisateur</cp:lastModifiedBy>
  <cp:revision>8</cp:revision>
  <dcterms:created xsi:type="dcterms:W3CDTF">2015-10-09T07:20:00Z</dcterms:created>
  <dcterms:modified xsi:type="dcterms:W3CDTF">2015-10-12T10:16:00Z</dcterms:modified>
</cp:coreProperties>
</file>